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1CB" w:rsidRDefault="004E61CB">
      <w:pPr>
        <w:pStyle w:val="ConsPlusNormal"/>
        <w:jc w:val="right"/>
        <w:outlineLvl w:val="0"/>
      </w:pPr>
      <w:r>
        <w:t>Приложение N 9</w:t>
      </w:r>
    </w:p>
    <w:p w:rsidR="004E61CB" w:rsidRDefault="004E61CB">
      <w:pPr>
        <w:pStyle w:val="ConsPlusNormal"/>
        <w:jc w:val="right"/>
      </w:pPr>
      <w:r>
        <w:t>к Государственной программе</w:t>
      </w:r>
    </w:p>
    <w:p w:rsidR="004E61CB" w:rsidRDefault="004E61CB">
      <w:pPr>
        <w:pStyle w:val="ConsPlusNormal"/>
        <w:jc w:val="both"/>
      </w:pPr>
    </w:p>
    <w:p w:rsidR="004E61CB" w:rsidRDefault="004E61CB">
      <w:pPr>
        <w:pStyle w:val="ConsPlusTitle"/>
        <w:jc w:val="center"/>
      </w:pPr>
      <w:r>
        <w:t>ПРАВИЛА</w:t>
      </w:r>
    </w:p>
    <w:p w:rsidR="004E61CB" w:rsidRDefault="004E61CB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4E61CB" w:rsidRDefault="004E61CB">
      <w:pPr>
        <w:pStyle w:val="ConsPlusTitle"/>
        <w:jc w:val="center"/>
      </w:pPr>
      <w:r>
        <w:t>БЮДЖЕТА БЮДЖЕТАМ МУНИЦИПАЛЬНЫХ ОБРАЗОВАНИЙ НА РЕАЛИЗАЦИЮ</w:t>
      </w:r>
    </w:p>
    <w:p w:rsidR="004E61CB" w:rsidRDefault="004E61CB">
      <w:pPr>
        <w:pStyle w:val="ConsPlusTitle"/>
        <w:jc w:val="center"/>
      </w:pPr>
      <w:r>
        <w:t>МЕРОПРИЯТИЙ ПО СОЗДАНИЮ УСЛОВИЙ ДЛЯ ФУНКЦИОНИРОВАНИЯ</w:t>
      </w:r>
    </w:p>
    <w:p w:rsidR="004E61CB" w:rsidRDefault="004E61CB">
      <w:pPr>
        <w:pStyle w:val="ConsPlusTitle"/>
        <w:jc w:val="center"/>
      </w:pPr>
      <w:r>
        <w:t xml:space="preserve">В МУНИЦИПАЛЬНЫХ ОБРАЗОВАНИЯХ КОМНАТ И ДОМОВ </w:t>
      </w:r>
      <w:proofErr w:type="gramStart"/>
      <w:r>
        <w:t>ВСЕРОССИЙСКОГО</w:t>
      </w:r>
      <w:proofErr w:type="gramEnd"/>
    </w:p>
    <w:p w:rsidR="004E61CB" w:rsidRDefault="004E61CB">
      <w:pPr>
        <w:pStyle w:val="ConsPlusTitle"/>
        <w:jc w:val="center"/>
      </w:pPr>
      <w:r>
        <w:t>ВОЕННО-ПАТРИОТИЧЕСКОГО ОБЩЕСТВЕННОГО ДВИЖЕНИЯ "ЮНАРМИЯ"</w:t>
      </w:r>
    </w:p>
    <w:p w:rsidR="004E61CB" w:rsidRDefault="004E61CB">
      <w:pPr>
        <w:pStyle w:val="ConsPlusNormal"/>
        <w:spacing w:after="1"/>
      </w:pPr>
    </w:p>
    <w:p w:rsidR="004E61CB" w:rsidRDefault="004E61CB">
      <w:pPr>
        <w:pStyle w:val="ConsPlusNormal"/>
        <w:jc w:val="both"/>
      </w:pPr>
      <w:bookmarkStart w:id="0" w:name="_GoBack"/>
      <w:bookmarkEnd w:id="0"/>
    </w:p>
    <w:p w:rsidR="004E61CB" w:rsidRDefault="004E61CB">
      <w:pPr>
        <w:pStyle w:val="ConsPlusNormal"/>
        <w:ind w:firstLine="540"/>
        <w:jc w:val="both"/>
      </w:pPr>
      <w:r>
        <w:t xml:space="preserve">1. Настоящие Правила устанавливают порядок предоставления и распределения субсидий </w:t>
      </w:r>
      <w:proofErr w:type="gramStart"/>
      <w:r>
        <w:t>из областного бюджета бюджетам муниципальных образований на реализацию мероприятий по созданию условий для функционирования в муниципальных образованиях</w:t>
      </w:r>
      <w:proofErr w:type="gramEnd"/>
      <w:r>
        <w:t xml:space="preserve"> Комнат и Домов Всероссийского военно-патриотического общественного движения "ЮНАРМИЯ" (далее - Правила, Субсидия).</w:t>
      </w:r>
    </w:p>
    <w:p w:rsidR="004E61CB" w:rsidRDefault="004E61CB">
      <w:pPr>
        <w:pStyle w:val="ConsPlusNormal"/>
        <w:spacing w:before="220"/>
        <w:ind w:firstLine="540"/>
        <w:jc w:val="both"/>
      </w:pPr>
      <w:bookmarkStart w:id="1" w:name="P16"/>
      <w:bookmarkEnd w:id="1"/>
      <w:r>
        <w:t xml:space="preserve">2. Субсидия предоставляется в целях </w:t>
      </w:r>
      <w:proofErr w:type="spellStart"/>
      <w:r>
        <w:t>софинансирования</w:t>
      </w:r>
      <w:proofErr w:type="spellEnd"/>
      <w:r>
        <w:t xml:space="preserve"> расходных обязательств, возникающих при выполнении полномочий органов местного самоуправления муниципальных образований по вопросам местного значения, на мероприятия по созданию и материальному оснащению Комнат/Домов Всероссийского военно-патриотического общественного движения "ЮНАРМИЯ" (далее - Комнат/Домов </w:t>
      </w:r>
      <w:proofErr w:type="spellStart"/>
      <w:r>
        <w:t>Юнармии</w:t>
      </w:r>
      <w:proofErr w:type="spellEnd"/>
      <w:r>
        <w:t>).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Для целей настоящих Правил используются следующие понятия: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Комната </w:t>
      </w:r>
      <w:proofErr w:type="spellStart"/>
      <w:r>
        <w:t>Юнармии</w:t>
      </w:r>
      <w:proofErr w:type="spellEnd"/>
      <w:r>
        <w:t xml:space="preserve"> - представляет собой одно помещение общей площадью не менее 40 </w:t>
      </w:r>
      <w:proofErr w:type="spellStart"/>
      <w:r>
        <w:t>кв</w:t>
      </w:r>
      <w:proofErr w:type="spellEnd"/>
      <w:r>
        <w:t xml:space="preserve"> м.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Дом </w:t>
      </w:r>
      <w:proofErr w:type="spellStart"/>
      <w:r>
        <w:t>Юнармии</w:t>
      </w:r>
      <w:proofErr w:type="spellEnd"/>
      <w:r>
        <w:t xml:space="preserve"> - объединяет в себе не менее 5 помещений (включая техническое помещение для хранения снаряжения и оборудования).</w:t>
      </w:r>
    </w:p>
    <w:p w:rsidR="004E61CB" w:rsidRDefault="004E61CB">
      <w:pPr>
        <w:pStyle w:val="ConsPlusNormal"/>
        <w:spacing w:before="220"/>
        <w:ind w:firstLine="540"/>
        <w:jc w:val="both"/>
      </w:pPr>
      <w:proofErr w:type="gramStart"/>
      <w:r>
        <w:t xml:space="preserve">Материальное оснащение Комнаты/Дома </w:t>
      </w:r>
      <w:proofErr w:type="spellStart"/>
      <w:r>
        <w:t>Юнармии</w:t>
      </w:r>
      <w:proofErr w:type="spellEnd"/>
      <w:r>
        <w:t xml:space="preserve"> включает в себя: мебель, комплекты стендов, флагов, политико-информативных карт России, табличек на двери, макеты боевого оружия (ММГ автоматов АК-74М, карабинов СКС, пистолеты ПМ-9), ростовые фигуры военнослужащих, робот-тренажер "Гоша", комплекты лазерного тира (ноутбук, принтер), комплект оборудования для игры в </w:t>
      </w:r>
      <w:proofErr w:type="spellStart"/>
      <w:r>
        <w:t>Лазертаг</w:t>
      </w:r>
      <w:proofErr w:type="spellEnd"/>
      <w:r>
        <w:t>, страховочное снаряжение для занятий горной-туристской подготовки и другого снаряжения, обеспечивающего более полную организацию учебного процесса, раздаточная</w:t>
      </w:r>
      <w:proofErr w:type="gramEnd"/>
      <w:r>
        <w:t xml:space="preserve"> продукция с логотипом и иное </w:t>
      </w:r>
      <w:proofErr w:type="gramStart"/>
      <w:r>
        <w:t>оборудование</w:t>
      </w:r>
      <w:proofErr w:type="gramEnd"/>
      <w:r>
        <w:t xml:space="preserve"> и материалы, отвечающие целям и задачам Всероссийского военно-патриотического общественного движения "ЮНАРМИЯ".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3. За счет Субсидий предусматривается финансовое обеспечение затрат по следующим видам расходов: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- затраты на материальное оснащение Комнаты/Дома </w:t>
      </w:r>
      <w:proofErr w:type="spellStart"/>
      <w:r>
        <w:t>Юнармии</w:t>
      </w:r>
      <w:proofErr w:type="spellEnd"/>
      <w:r>
        <w:t>;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- затраты на оформление Комнаты/Дома </w:t>
      </w:r>
      <w:proofErr w:type="spellStart"/>
      <w:r>
        <w:t>Юнармии</w:t>
      </w:r>
      <w:proofErr w:type="spellEnd"/>
      <w:r>
        <w:t xml:space="preserve"> с применением фирменного стиля;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- затраты на приобретение фирменной продукции, в </w:t>
      </w:r>
      <w:proofErr w:type="spellStart"/>
      <w:r>
        <w:t>т.ч</w:t>
      </w:r>
      <w:proofErr w:type="spellEnd"/>
      <w:r>
        <w:t xml:space="preserve">. комплектов формы членов </w:t>
      </w:r>
      <w:proofErr w:type="spellStart"/>
      <w:r>
        <w:t>Юнармии</w:t>
      </w:r>
      <w:proofErr w:type="spellEnd"/>
      <w:r>
        <w:t xml:space="preserve"> (зимних/летних комплектов).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Субсидия носит целевой характер и не может быть использована на иные цели.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4. Субсидии предоставляются Комитетом молодежной политики Мурманской области (далее - Комитет) в соответствии со сводной бюджетной росписью областного бюджета, кассовым планом выплат, в пределах лимитов бюджетных обязательств, предусмотренных на указанные </w:t>
      </w:r>
      <w:r>
        <w:lastRenderedPageBreak/>
        <w:t>цели.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5. Субсидии предоставляются на конкурсной основе по итогам рассмотрения заявок, поступивших в адрес Комитета от органов местного самоуправления муниципальных образований. Основанием для отказа в предоставлении субсидии является несоответствие муниципального образования установленным критериям.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6. Критериями отбора являются: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а) наличие у муниципального образования в собственности помещения для размещения Комнаты/Дома </w:t>
      </w:r>
      <w:proofErr w:type="spellStart"/>
      <w:r>
        <w:t>Юнармии</w:t>
      </w:r>
      <w:proofErr w:type="spellEnd"/>
      <w:r>
        <w:t>;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б) подтверждение обязательства муниципального образования нести расходы по содержанию помещения, предназначенного под Комнату/Дом </w:t>
      </w:r>
      <w:proofErr w:type="spellStart"/>
      <w:r>
        <w:t>Юнармии</w:t>
      </w:r>
      <w:proofErr w:type="spellEnd"/>
      <w:r>
        <w:t xml:space="preserve">, а также по обслуживанию материального оснащения Комнаты/Дома </w:t>
      </w:r>
      <w:proofErr w:type="spellStart"/>
      <w:r>
        <w:t>Юнармии</w:t>
      </w:r>
      <w:proofErr w:type="spellEnd"/>
      <w:r>
        <w:t>;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в) наличие финансового обоснования, включающего сметный расчет затрат;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г) подтверждение обязательства главы администрации муниципального образования на проведение регистрации Комнаты </w:t>
      </w:r>
      <w:proofErr w:type="spellStart"/>
      <w:r>
        <w:t>Юнармии</w:t>
      </w:r>
      <w:proofErr w:type="spellEnd"/>
      <w:r>
        <w:t xml:space="preserve"> в региональном штабе Всероссийского военно-патриотического общественного движения "ЮНАРМИЯ"/на проведение паспортизации Дома </w:t>
      </w:r>
      <w:proofErr w:type="spellStart"/>
      <w:r>
        <w:t>Юнармии</w:t>
      </w:r>
      <w:proofErr w:type="spellEnd"/>
      <w:r>
        <w:t xml:space="preserve"> в главном штабе Всероссийского военно-патриотического общественного движения "ЮНАРМИЯ".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7. Субсидия предоставляется в целях </w:t>
      </w:r>
      <w:proofErr w:type="spellStart"/>
      <w:r>
        <w:t>софинансирования</w:t>
      </w:r>
      <w:proofErr w:type="spellEnd"/>
      <w:r>
        <w:t xml:space="preserve"> указанных в </w:t>
      </w:r>
      <w:hyperlink w:anchor="P16">
        <w:r>
          <w:rPr>
            <w:color w:val="0000FF"/>
          </w:rPr>
          <w:t>пункте 2</w:t>
        </w:r>
      </w:hyperlink>
      <w:r>
        <w:t xml:space="preserve"> настоящих Правил мероприятий на следующих условиях: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а) наличие принятого в установленном порядке муниципального нормативного правового акта, устанавливающего расходные обязательства муниципального образования, а также утверждающего перечень мероприятий, в целях </w:t>
      </w:r>
      <w:proofErr w:type="spellStart"/>
      <w:r>
        <w:t>софинансирования</w:t>
      </w:r>
      <w:proofErr w:type="spellEnd"/>
      <w:r>
        <w:t xml:space="preserve"> которых предоставляется субсидия;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б) утратил силу. - </w:t>
      </w:r>
      <w:hyperlink r:id="rId5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03.02.2023 N 74-ПП;</w:t>
      </w:r>
    </w:p>
    <w:p w:rsidR="004E61CB" w:rsidRDefault="004E61CB">
      <w:pPr>
        <w:pStyle w:val="ConsPlusNormal"/>
        <w:spacing w:before="220"/>
        <w:ind w:firstLine="540"/>
        <w:jc w:val="both"/>
      </w:pPr>
      <w:proofErr w:type="gramStart"/>
      <w:r>
        <w:t xml:space="preserve">в) заключение соглашения между Комитетом и органом местного самоуправления муниципального образования о предоставлении субсидии, предусматривающего обязательства муниципального образования по исполнению расходных обязательств, в целях </w:t>
      </w:r>
      <w:proofErr w:type="spellStart"/>
      <w:r>
        <w:t>софинансирования</w:t>
      </w:r>
      <w:proofErr w:type="spellEnd"/>
      <w:r>
        <w:t xml:space="preserve"> которых предоставляется Субсидия, и ответственность за невыполнение предусмотренных указанным соглашением обязательств (далее - соглашение), подготавливаемого (формируемого) и заключаемого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 (далее - программный комплекс);</w:t>
      </w:r>
      <w:proofErr w:type="gramEnd"/>
    </w:p>
    <w:p w:rsidR="004E61CB" w:rsidRDefault="004E61CB">
      <w:pPr>
        <w:pStyle w:val="ConsPlusNormal"/>
        <w:spacing w:before="220"/>
        <w:ind w:firstLine="540"/>
        <w:jc w:val="both"/>
      </w:pPr>
      <w:proofErr w:type="gramStart"/>
      <w:r>
        <w:t xml:space="preserve">г) если за счет средств субсидий осуществляются закупки товаров, работ, услуг конкурентными способами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исполнителей)) (далее - закупка), обязательным условием предоставления субсидий является централизация закупок в соответствии с </w:t>
      </w:r>
      <w:hyperlink r:id="rId6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</w:t>
      </w:r>
      <w:proofErr w:type="gramEnd"/>
      <w:r>
        <w:t xml:space="preserve"> обеспечения государственных и муниципальных нужд",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 Закупки товаров, работ, услуг за счет средств субсидий в соответствии с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осуществляются заказчиками самостоятельно. Срок исполнения работ, услуг, поставки товаров в обязательном порядке предварительно согласовывается с Комитетом.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lastRenderedPageBreak/>
        <w:t xml:space="preserve">8. Показателем результативности использования Субсидии муниципальным образованием является создание Комнаты/Дома </w:t>
      </w:r>
      <w:proofErr w:type="spellStart"/>
      <w:r>
        <w:t>Юнармии</w:t>
      </w:r>
      <w:proofErr w:type="spellEnd"/>
      <w:r>
        <w:t xml:space="preserve"> и материальное оснащение Комнаты/Дома </w:t>
      </w:r>
      <w:proofErr w:type="spellStart"/>
      <w:r>
        <w:t>Юнармии</w:t>
      </w:r>
      <w:proofErr w:type="spellEnd"/>
      <w:r>
        <w:t>. Значение показателя результата предоставления Субсидии устанавливается Соглашением.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9. Оценка результативности предоставления субсидии осуществляется Комитетом исходя из степени достижения показателя результативности на основании отчетных данных, представленных муниципальным образованием по итогам года получения Субсидии.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10. Ответственность за достоверность представляемых в Комитет сведений возлагается на орган местного самоуправления, заключивший соглашение.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11. Размер Субсидии, предоставляемой бюджету i-</w:t>
      </w:r>
      <w:proofErr w:type="spellStart"/>
      <w:r>
        <w:t>го</w:t>
      </w:r>
      <w:proofErr w:type="spellEnd"/>
      <w:r>
        <w:t xml:space="preserve"> муниципального образования - победителя конкурсного отбора, определяется по формуле:</w:t>
      </w:r>
    </w:p>
    <w:p w:rsidR="004E61CB" w:rsidRDefault="004E61CB">
      <w:pPr>
        <w:pStyle w:val="ConsPlusNormal"/>
        <w:jc w:val="both"/>
      </w:pPr>
    </w:p>
    <w:p w:rsidR="004E61CB" w:rsidRPr="004E61CB" w:rsidRDefault="004E61CB">
      <w:pPr>
        <w:pStyle w:val="ConsPlusNormal"/>
        <w:ind w:firstLine="540"/>
        <w:jc w:val="both"/>
        <w:rPr>
          <w:lang w:val="en-US"/>
        </w:rPr>
      </w:pPr>
      <w:r w:rsidRPr="004E61CB">
        <w:rPr>
          <w:lang w:val="en-US"/>
        </w:rPr>
        <w:t xml:space="preserve">Si = S / P x Pi, </w:t>
      </w:r>
      <w:r>
        <w:t>где</w:t>
      </w:r>
      <w:r w:rsidRPr="004E61CB">
        <w:rPr>
          <w:lang w:val="en-US"/>
        </w:rPr>
        <w:t>:</w:t>
      </w:r>
    </w:p>
    <w:p w:rsidR="004E61CB" w:rsidRPr="004E61CB" w:rsidRDefault="004E61CB">
      <w:pPr>
        <w:pStyle w:val="ConsPlusNormal"/>
        <w:jc w:val="both"/>
        <w:rPr>
          <w:lang w:val="en-US"/>
        </w:rPr>
      </w:pPr>
    </w:p>
    <w:p w:rsidR="004E61CB" w:rsidRDefault="004E61CB">
      <w:pPr>
        <w:pStyle w:val="ConsPlusNormal"/>
        <w:ind w:firstLine="540"/>
        <w:jc w:val="both"/>
      </w:pPr>
      <w:proofErr w:type="spellStart"/>
      <w:r>
        <w:t>Si</w:t>
      </w:r>
      <w:proofErr w:type="spellEnd"/>
      <w:r>
        <w:t xml:space="preserve"> - размер Субсидии предоставляемой бюджету i-</w:t>
      </w:r>
      <w:proofErr w:type="spellStart"/>
      <w:r>
        <w:t>го</w:t>
      </w:r>
      <w:proofErr w:type="spellEnd"/>
      <w:r>
        <w:t xml:space="preserve"> муниципального образования - победителя конкурсного отбора в текущем финансовом году;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P - общий объем заявленной потребности муниципальных образований - победителей конкурсного отбора;</w:t>
      </w:r>
    </w:p>
    <w:p w:rsidR="004E61CB" w:rsidRDefault="004E61CB">
      <w:pPr>
        <w:pStyle w:val="ConsPlusNormal"/>
        <w:spacing w:before="220"/>
        <w:ind w:firstLine="540"/>
        <w:jc w:val="both"/>
      </w:pPr>
      <w:proofErr w:type="spellStart"/>
      <w:r>
        <w:t>Pi</w:t>
      </w:r>
      <w:proofErr w:type="spellEnd"/>
      <w:r>
        <w:t xml:space="preserve"> - объем заявленной потребности i-</w:t>
      </w:r>
      <w:proofErr w:type="spellStart"/>
      <w:r>
        <w:t>го</w:t>
      </w:r>
      <w:proofErr w:type="spellEnd"/>
      <w:r>
        <w:t xml:space="preserve"> муниципального образования - победителя конкурсного отбора на предоставление Субсидии;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S - общая сумма ассигнований областного бюджета на предоставление субсидии муниципальным образованиям.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Размер субсидии, предоставляемой бюджету i-</w:t>
      </w:r>
      <w:proofErr w:type="spellStart"/>
      <w:r>
        <w:t>го</w:t>
      </w:r>
      <w:proofErr w:type="spellEnd"/>
      <w:r>
        <w:t xml:space="preserve"> муниципального образования, не может быть больше суммы заявленной потребности муниципального образования.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12. Уровень </w:t>
      </w:r>
      <w:proofErr w:type="spellStart"/>
      <w:r>
        <w:t>софинансирования</w:t>
      </w:r>
      <w:proofErr w:type="spellEnd"/>
      <w:r>
        <w:t xml:space="preserve"> из областного бюджета расходного обязательства муниципального образования устанавливается в соответствии с предельным уровнем </w:t>
      </w:r>
      <w:proofErr w:type="spellStart"/>
      <w:r>
        <w:t>софинансирования</w:t>
      </w:r>
      <w:proofErr w:type="spellEnd"/>
      <w:r>
        <w:t>, утвержденным постановлением Правительства Мурманской области.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13. Предоставление Субсидии осуществляется в соответствии с Соглашением, заключенным между Комитетом и органом местного самоуправления муниципального образования.</w:t>
      </w:r>
    </w:p>
    <w:p w:rsidR="004E61CB" w:rsidRDefault="004E61CB">
      <w:pPr>
        <w:pStyle w:val="ConsPlusNormal"/>
        <w:spacing w:before="220"/>
        <w:ind w:firstLine="540"/>
        <w:jc w:val="both"/>
      </w:pPr>
      <w:proofErr w:type="gramStart"/>
      <w:r>
        <w:t xml:space="preserve">Соглашение о предоставлении субсидии из областного бюджета местному бюджету должно содержать положения, предусмотренные </w:t>
      </w:r>
      <w:hyperlink r:id="rId8">
        <w:r>
          <w:rPr>
            <w:color w:val="0000FF"/>
          </w:rPr>
          <w:t>пунктом 7</w:t>
        </w:r>
      </w:hyperlink>
      <w:r>
        <w:t xml:space="preserve">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 "О формировании, предоставлении и распределении субсидий из областного бюджета местным бюджетам Мурманской области" (далее - Правила 445-ПП).</w:t>
      </w:r>
      <w:proofErr w:type="gramEnd"/>
      <w:r>
        <w:t xml:space="preserve"> Соглашение заключается в соответствии с типовой формой, утвержденной Министерством финансов Мурманской области (далее - Министерство финансов).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14. Орган местного самоуправления - получатель Субсидии ежемесячно представляет в Комитет в срок до 20-го числа месяца, предшествующего месяцу финансирования, заявку на финансирование Субсидии по утвержденной Комитетом форме.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15. Комитет перечисляет Субсидии в бюджет муниципального образования в установленном порядке на счет территориального органа Федерального казначейства, открытый для кассового обслуживания исполнения местного бюджета, на лицевой счет соответствующего администратора доходов, уполномоченного на использование Субсидии.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lastRenderedPageBreak/>
        <w:t xml:space="preserve">16. </w:t>
      </w:r>
      <w:proofErr w:type="gramStart"/>
      <w:r>
        <w:t xml:space="preserve"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</w:t>
      </w:r>
      <w:proofErr w:type="spellStart"/>
      <w:r>
        <w:t>софинансирования</w:t>
      </w:r>
      <w:proofErr w:type="spellEnd"/>
      <w:r>
        <w:t xml:space="preserve"> которого предоставляется Субсидия, указанные бюджетные ассигнования предусматриваются по иным кодам классификации расходов, отличным от кодов классификации расходов местных бюджетов, по которым предусмотрены бюджетные ассигнования на исполнение расходного обязательства муниципального образования, </w:t>
      </w:r>
      <w:proofErr w:type="spellStart"/>
      <w:r>
        <w:t>софинансируемого</w:t>
      </w:r>
      <w:proofErr w:type="spellEnd"/>
      <w:r>
        <w:t xml:space="preserve"> из областного</w:t>
      </w:r>
      <w:proofErr w:type="gramEnd"/>
      <w:r>
        <w:t xml:space="preserve"> бюджета, либо уровень </w:t>
      </w:r>
      <w:proofErr w:type="spellStart"/>
      <w:r>
        <w:t>софинансирования</w:t>
      </w:r>
      <w:proofErr w:type="spellEnd"/>
      <w:r>
        <w:t>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17. Орган местного самоуправления, являющийся получателем субсидии, представляет ежеквартально, не позднее 8-го числа месяца, следующего за отчетным кварталом, в котором была получена Субсидия: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- отчет об осуществлении расходов, источником финансового обеспечения которых является Субсидия из областного бюджета, по утвержденной Комитетом форме;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- отчет о достижении </w:t>
      </w:r>
      <w:proofErr w:type="gramStart"/>
      <w:r>
        <w:t>значений показателей результативности использования Субсидии</w:t>
      </w:r>
      <w:proofErr w:type="gramEnd"/>
      <w:r>
        <w:t xml:space="preserve"> по утвержденной Комитетом форме.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Предварительный отчет за год орган местного самоуправления</w:t>
      </w:r>
      <w:proofErr w:type="gramStart"/>
      <w:r>
        <w:t>.</w:t>
      </w:r>
      <w:proofErr w:type="gramEnd"/>
      <w:r>
        <w:t xml:space="preserve"> </w:t>
      </w:r>
      <w:proofErr w:type="gramStart"/>
      <w:r>
        <w:t>я</w:t>
      </w:r>
      <w:proofErr w:type="gramEnd"/>
      <w:r>
        <w:t>вляющийся получателем субсидии, представляет до 5 декабря года предоставления Субсидии.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Окончательные отчеты по итогам года орган местного самоуправления, являющийся получателем субсидии, предоставляет в срок до 15 января года, следующего за годом предоставления Субсидии.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Отчетность предоставляется посредством программного комплекса.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18. Не использованная на 1 января текущего финансового года Субсидия подлежат возврату в доход областного бюджета.</w:t>
      </w:r>
    </w:p>
    <w:p w:rsidR="004E61CB" w:rsidRDefault="004E61CB">
      <w:pPr>
        <w:pStyle w:val="ConsPlusNormal"/>
        <w:spacing w:before="220"/>
        <w:ind w:firstLine="540"/>
        <w:jc w:val="both"/>
      </w:pPr>
      <w:proofErr w:type="gramStart"/>
      <w:r>
        <w:t>В соответствии с решением Комитета о наличии потребности в Субсидии, не использованной в отчетном финансовом году, согласованным с Министерством финансов, средства в объеме, не превышающем остатка Субсидии,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субсидий.</w:t>
      </w:r>
      <w:proofErr w:type="gramEnd"/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случае</w:t>
      </w:r>
      <w:proofErr w:type="gramEnd"/>
      <w:r>
        <w:t xml:space="preserve"> если неиспользованный остаток Субсидии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Потребность в неиспользованной Субсидии, перечисление которой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является Субсидия из областного бюджета (далее - под фактическую потребность), определяется в текущем финансовом году в соответствии с решением Комитета.</w:t>
      </w:r>
    </w:p>
    <w:p w:rsidR="004E61CB" w:rsidRDefault="004E61CB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Субсидии, предоставление которой в отчетном финансовом году осуществлялось под фактическую потребность, в объеме, не превышающем сумму остатка неиспользованных бюджетных ассигнований на указанные цели на начало текущего финансового года, осуществляется Министерством финансов на основании обращения</w:t>
      </w:r>
      <w:proofErr w:type="gramEnd"/>
      <w:r>
        <w:t xml:space="preserve">, </w:t>
      </w:r>
      <w:proofErr w:type="gramStart"/>
      <w:r>
        <w:t>представленного</w:t>
      </w:r>
      <w:proofErr w:type="gramEnd"/>
      <w:r>
        <w:t xml:space="preserve"> Комитетом.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lastRenderedPageBreak/>
        <w:t xml:space="preserve">19. В </w:t>
      </w:r>
      <w:proofErr w:type="gramStart"/>
      <w:r>
        <w:t>случае</w:t>
      </w:r>
      <w:proofErr w:type="gramEnd"/>
      <w:r>
        <w:t xml:space="preserve"> если в отчетном финансовом году муниципальным образованием не достигнуты значения показателей результативности использования Субсидии, предусмотренных Соглашением, применяются меры в соответствии с </w:t>
      </w:r>
      <w:hyperlink r:id="rId9">
        <w:r>
          <w:rPr>
            <w:color w:val="0000FF"/>
          </w:rPr>
          <w:t>пунктом 12</w:t>
        </w:r>
      </w:hyperlink>
      <w:r>
        <w:t xml:space="preserve"> Правил 445-ПП.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Освобождение муниципальных образований от применения меры ответственности, предусмотренной </w:t>
      </w:r>
      <w:hyperlink r:id="rId10">
        <w:r>
          <w:rPr>
            <w:color w:val="0000FF"/>
          </w:rPr>
          <w:t>пунктом 12</w:t>
        </w:r>
      </w:hyperlink>
      <w:r>
        <w:t xml:space="preserve"> Правил 445-ПП, осуществляется в соответствии с </w:t>
      </w:r>
      <w:hyperlink r:id="rId11">
        <w:r>
          <w:rPr>
            <w:color w:val="0000FF"/>
          </w:rPr>
          <w:t>пунктом 14</w:t>
        </w:r>
      </w:hyperlink>
      <w:r>
        <w:t xml:space="preserve"> Правил 445-ПП.</w:t>
      </w:r>
    </w:p>
    <w:p w:rsidR="004E61CB" w:rsidRDefault="004E61CB">
      <w:pPr>
        <w:pStyle w:val="ConsPlusNormal"/>
        <w:spacing w:before="220"/>
        <w:ind w:firstLine="540"/>
        <w:jc w:val="both"/>
      </w:pPr>
      <w:proofErr w:type="gramStart"/>
      <w:r>
        <w:t xml:space="preserve">В случае отсутствия оснований для освобождения муниципальных образований от применения мер ответственности, предусмотренных </w:t>
      </w:r>
      <w:hyperlink r:id="rId12">
        <w:r>
          <w:rPr>
            <w:color w:val="0000FF"/>
          </w:rPr>
          <w:t>пунктом 12</w:t>
        </w:r>
      </w:hyperlink>
      <w:r>
        <w:t xml:space="preserve"> Правил 445-ПП, главные распорядители средств областного бюджета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направляют главе администрации муниципального образования требование по возврату из местного бюджета</w:t>
      </w:r>
      <w:proofErr w:type="gramEnd"/>
      <w:r>
        <w:t xml:space="preserve"> в областной бюджет объема средств, рассчитанного в соответствии с </w:t>
      </w:r>
      <w:hyperlink r:id="rId13">
        <w:r>
          <w:rPr>
            <w:color w:val="0000FF"/>
          </w:rPr>
          <w:t>пунктом 12</w:t>
        </w:r>
      </w:hyperlink>
      <w:r>
        <w:t xml:space="preserve"> Правил 445-ПП, с указанием сумм, подлежащих возврату, средств и сроков их возврата.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>20. Орган местного самоуправления, являющийся получателем субсидии, несет ответственность за нецелевое использование Субсидии и недостоверность предоставляемых сведений.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21. В </w:t>
      </w:r>
      <w:proofErr w:type="gramStart"/>
      <w:r>
        <w:t>случае</w:t>
      </w:r>
      <w:proofErr w:type="gramEnd"/>
      <w:r>
        <w:t xml:space="preserve">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22. </w:t>
      </w:r>
      <w:proofErr w:type="gramStart"/>
      <w:r>
        <w:t xml:space="preserve">В случае если органом местного самоуправления, являющимся получателем субсидии, по состоянию на 31 декабря года предоставления Субсидии допущены нарушения обязательств в части соблюдения уровня </w:t>
      </w:r>
      <w:proofErr w:type="spellStart"/>
      <w:r>
        <w:t>софинансирования</w:t>
      </w:r>
      <w:proofErr w:type="spellEnd"/>
      <w:r>
        <w:t xml:space="preserve">, предусмотренных Соглашением, объем средств, подлежащий возврату из местного бюджета в областной бюджет в срок до 1 июня года, следующего за годом предоставления Субсидии, рассчитывается в соответствии с </w:t>
      </w:r>
      <w:hyperlink r:id="rId14">
        <w:r>
          <w:rPr>
            <w:color w:val="0000FF"/>
          </w:rPr>
          <w:t>пунктом 16</w:t>
        </w:r>
      </w:hyperlink>
      <w:r>
        <w:t xml:space="preserve"> Правил 445-ПП.</w:t>
      </w:r>
      <w:proofErr w:type="gramEnd"/>
    </w:p>
    <w:p w:rsidR="004E61CB" w:rsidRDefault="004E61CB">
      <w:pPr>
        <w:pStyle w:val="ConsPlusNormal"/>
        <w:spacing w:before="220"/>
        <w:ind w:firstLine="540"/>
        <w:jc w:val="both"/>
      </w:pPr>
      <w:r>
        <w:t xml:space="preserve">23. </w:t>
      </w:r>
      <w:proofErr w:type="gramStart"/>
      <w:r>
        <w:t>Контроль за</w:t>
      </w:r>
      <w:proofErr w:type="gramEnd"/>
      <w:r>
        <w:t xml:space="preserve"> соблюдением получателями Субсидии условий, целей и порядка, установленных при ее предоставлении, осуществляется Комитетом и органами государственного финансового контроля Мурманской области.</w:t>
      </w:r>
    </w:p>
    <w:p w:rsidR="004E61CB" w:rsidRDefault="004E61CB">
      <w:pPr>
        <w:pStyle w:val="ConsPlusNormal"/>
        <w:jc w:val="both"/>
      </w:pPr>
    </w:p>
    <w:p w:rsidR="004E61CB" w:rsidRDefault="004E61CB">
      <w:pPr>
        <w:pStyle w:val="ConsPlusNormal"/>
      </w:pPr>
      <w:hyperlink r:id="rId15">
        <w:r>
          <w:rPr>
            <w:i/>
            <w:color w:val="0000FF"/>
          </w:rPr>
          <w:br/>
          <w:t>Постановление Правительства Мурманской области от 11.11.2020 N 793-ПП (ред. от 14.07.2023) "Об утверждении государственной программы Мурманской области "Государственное управление и гражданское общество"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FB6831" w:rsidRDefault="00FB6831"/>
    <w:sectPr w:rsidR="00FB6831" w:rsidSect="00D96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1CB"/>
    <w:rsid w:val="004E61CB"/>
    <w:rsid w:val="00FB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61C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E61C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61C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E61C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53BACA18E108B33060BB3D7B3FDF9827F37C88FAAACD87ED1313BFDB9470B75428F4480ECC9FC7289B884DA8A73A48E7E365805A5458D0CAD287A8F1hAH" TargetMode="External"/><Relationship Id="rId13" Type="http://schemas.openxmlformats.org/officeDocument/2006/relationships/hyperlink" Target="consultantplus://offline/ref=B753BACA18E108B33060BB3D7B3FDF9827F37C88FAAACD87ED1313BFDB9470B75428F4480ECC9FC7289B8849ABA73A48E7E365805A5458D0CAD287A8F1hA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53BACA18E108B33060A5306D53819D24FD218CFDAFC2D3B34F15E884C476E20668AA114F8C8CC620858949ACFAhFH" TargetMode="External"/><Relationship Id="rId12" Type="http://schemas.openxmlformats.org/officeDocument/2006/relationships/hyperlink" Target="consultantplus://offline/ref=B753BACA18E108B33060BB3D7B3FDF9827F37C88FAAACD87ED1313BFDB9470B75428F4480ECC9FC7289B8849ABA73A48E7E365805A5458D0CAD287A8F1hA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53BACA18E108B33060A5306D53819D24FD2687FEAFC2D3B34F15E884C476E21468F21E458D999279DFDE44ACA87019ABA86A825CF4h9H" TargetMode="External"/><Relationship Id="rId11" Type="http://schemas.openxmlformats.org/officeDocument/2006/relationships/hyperlink" Target="consultantplus://offline/ref=B753BACA18E108B33060BB3D7B3FDF9827F37C88FAAACD87ED1313BFDB9470B75428F4480ECC9FC7289B884EA9A73A48E7E365805A5458D0CAD287A8F1hAH" TargetMode="External"/><Relationship Id="rId5" Type="http://schemas.openxmlformats.org/officeDocument/2006/relationships/hyperlink" Target="consultantplus://offline/ref=B753BACA18E108B33060BB3D7B3FDF9827F37C88FAAAC886EF1E13BFDB9470B75428F4480ECC9FC7289B894EA7A73A48E7E365805A5458D0CAD287A8F1hAH" TargetMode="External"/><Relationship Id="rId15" Type="http://schemas.openxmlformats.org/officeDocument/2006/relationships/hyperlink" Target="consultantplus://offline/ref=B753BACA18E108B33060BB3D7B3FDF9827F37C88FAAACD8DED1C13BFDB9470B75428F4480ECC9FC7299B894CA7A73A48E7E365805A5458D0CAD287A8F1hAH" TargetMode="External"/><Relationship Id="rId10" Type="http://schemas.openxmlformats.org/officeDocument/2006/relationships/hyperlink" Target="consultantplus://offline/ref=B753BACA18E108B33060BB3D7B3FDF9827F37C88FAAACD87ED1313BFDB9470B75428F4480ECC9FC7289B8849ABA73A48E7E365805A5458D0CAD287A8F1h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753BACA18E108B33060BB3D7B3FDF9827F37C88FAAACD87ED1313BFDB9470B75428F4480ECC9FC7289B8849ABA73A48E7E365805A5458D0CAD287A8F1hAH" TargetMode="External"/><Relationship Id="rId14" Type="http://schemas.openxmlformats.org/officeDocument/2006/relationships/hyperlink" Target="consultantplus://offline/ref=B753BACA18E108B33060BB3D7B3FDF9827F37C88FAAACD87ED1313BFDB9470B75428F4480ECC9FC7289B8841ABA73A48E7E365805A5458D0CAD287A8F1h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2448</Words>
  <Characters>13959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Виноградова Е.М.</dc:creator>
  <cp:lastModifiedBy>Виноградова Е.М.</cp:lastModifiedBy>
  <cp:revision>1</cp:revision>
  <dcterms:created xsi:type="dcterms:W3CDTF">2023-08-24T07:33:00Z</dcterms:created>
  <dcterms:modified xsi:type="dcterms:W3CDTF">2023-08-24T07:34:00Z</dcterms:modified>
</cp:coreProperties>
</file>